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" w:cs="Times" w:eastAsia="Times" w:hAnsi="Times"/>
          <w:sz w:val="28"/>
          <w:szCs w:val="28"/>
          <w:highlight w:val="whit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highlight w:val="white"/>
          <w:rtl w:val="0"/>
        </w:rPr>
        <w:t xml:space="preserve">Righting Wrongs: A Practical Approach to Repentance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" w:cs="Times" w:eastAsia="Times" w:hAnsi="Times"/>
          <w:i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" w:cs="Times" w:eastAsia="Times" w:hAnsi="Times"/>
          <w:i w:val="1"/>
          <w:color w:val="999999"/>
          <w:sz w:val="28"/>
          <w:szCs w:val="28"/>
          <w:highlight w:val="white"/>
          <w:rtl w:val="0"/>
        </w:rPr>
        <w:t xml:space="preserve">Source Sheet by </w:t>
      </w:r>
      <w:hyperlink r:id="rId6">
        <w:r w:rsidDel="00000000" w:rsidR="00000000" w:rsidRPr="00000000">
          <w:rPr>
            <w:rFonts w:ascii="Times" w:cs="Times" w:eastAsia="Times" w:hAnsi="Times"/>
            <w:i w:val="1"/>
            <w:color w:val="333333"/>
            <w:sz w:val="28"/>
            <w:szCs w:val="28"/>
            <w:highlight w:val="white"/>
            <w:rtl w:val="0"/>
          </w:rPr>
          <w:t xml:space="preserve">Michael Washerstein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" w:cs="Times" w:eastAsia="Times" w:hAnsi="Times"/>
          <w:i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" w:cs="Times" w:eastAsia="Times" w:hAnsi="Times"/>
          <w:i w:val="1"/>
          <w:color w:val="999999"/>
          <w:sz w:val="28"/>
          <w:szCs w:val="28"/>
          <w:highlight w:val="white"/>
          <w:rtl w:val="0"/>
        </w:rPr>
        <w:t xml:space="preserve">Based on </w:t>
      </w:r>
      <w:hyperlink r:id="rId7">
        <w:r w:rsidDel="00000000" w:rsidR="00000000" w:rsidRPr="00000000">
          <w:rPr>
            <w:rFonts w:ascii="Times" w:cs="Times" w:eastAsia="Times" w:hAnsi="Times"/>
            <w:i w:val="1"/>
            <w:color w:val="333333"/>
            <w:sz w:val="28"/>
            <w:szCs w:val="28"/>
            <w:highlight w:val="white"/>
            <w:rtl w:val="0"/>
          </w:rPr>
          <w:t xml:space="preserve">a sheet</w:t>
        </w:r>
      </w:hyperlink>
      <w:r w:rsidDel="00000000" w:rsidR="00000000" w:rsidRPr="00000000">
        <w:rPr>
          <w:rFonts w:ascii="Times" w:cs="Times" w:eastAsia="Times" w:hAnsi="Times"/>
          <w:i w:val="1"/>
          <w:color w:val="999999"/>
          <w:sz w:val="28"/>
          <w:szCs w:val="28"/>
          <w:highlight w:val="white"/>
          <w:rtl w:val="0"/>
        </w:rPr>
        <w:t xml:space="preserve"> by </w:t>
      </w:r>
      <w:hyperlink r:id="rId8">
        <w:r w:rsidDel="00000000" w:rsidR="00000000" w:rsidRPr="00000000">
          <w:rPr>
            <w:rFonts w:ascii="Times" w:cs="Times" w:eastAsia="Times" w:hAnsi="Times"/>
            <w:i w:val="1"/>
            <w:color w:val="333333"/>
            <w:sz w:val="28"/>
            <w:szCs w:val="28"/>
            <w:highlight w:val="white"/>
            <w:rtl w:val="0"/>
          </w:rPr>
          <w:t xml:space="preserve">Sam Blumberg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i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5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i w:val="1"/>
                <w:color w:val="333333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20" w:lineRule="auto"/>
              <w:contextualSpacing w:val="0"/>
              <w:rPr>
                <w:rFonts w:ascii="Times" w:cs="Times" w:eastAsia="Times" w:hAnsi="Times"/>
                <w:b w:val="1"/>
                <w:color w:val="000000"/>
                <w:sz w:val="32"/>
                <w:szCs w:val="32"/>
                <w:shd w:fill="auto" w:val="clear"/>
              </w:rPr>
            </w:pPr>
            <w:hyperlink r:id="rId9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0"/>
                </w:rPr>
                <w:t xml:space="preserve">Mishneh Torah, Repentance 2:6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8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>
                  <w:shd w:fill="ffffff" w:val="clear"/>
                  <w:tcMar>
                    <w:top w:w="0.0" w:type="dxa"/>
                    <w:left w:w="150.0" w:type="dxa"/>
                    <w:bottom w:w="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0"/>
                    </w:rPr>
                    <w:t xml:space="preserve">Even though </w:t>
                  </w:r>
                  <w:r w:rsidDel="00000000" w:rsidR="00000000" w:rsidRPr="00000000">
                    <w:rPr>
                      <w:rFonts w:ascii="Times" w:cs="Times" w:eastAsia="Times" w:hAnsi="Times"/>
                      <w:i w:val="1"/>
                      <w:sz w:val="32"/>
                      <w:szCs w:val="32"/>
                      <w:shd w:fill="auto" w:val="clear"/>
                      <w:rtl w:val="0"/>
                    </w:rPr>
                    <w:t xml:space="preserve">teshuva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0"/>
                    </w:rPr>
                    <w:t xml:space="preserve"> [repentance] and shouting out [to G-d] are always good, in the ten days that are between </w:t>
                  </w:r>
                  <w:r w:rsidDel="00000000" w:rsidR="00000000" w:rsidRPr="00000000">
                    <w:rPr>
                      <w:rFonts w:ascii="Times" w:cs="Times" w:eastAsia="Times" w:hAnsi="Times"/>
                      <w:i w:val="1"/>
                      <w:sz w:val="32"/>
                      <w:szCs w:val="32"/>
                      <w:shd w:fill="auto" w:val="clear"/>
                      <w:rtl w:val="0"/>
                    </w:rPr>
                    <w:t xml:space="preserve">Rosh HaShanah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0"/>
                    </w:rPr>
                    <w:t xml:space="preserve"> and </w:t>
                  </w:r>
                  <w:r w:rsidDel="00000000" w:rsidR="00000000" w:rsidRPr="00000000">
                    <w:rPr>
                      <w:rFonts w:ascii="Times" w:cs="Times" w:eastAsia="Times" w:hAnsi="Times"/>
                      <w:i w:val="1"/>
                      <w:sz w:val="32"/>
                      <w:szCs w:val="32"/>
                      <w:shd w:fill="auto" w:val="clear"/>
                      <w:rtl w:val="0"/>
                    </w:rPr>
                    <w:t xml:space="preserve">Yom Kippur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0"/>
                    </w:rPr>
                    <w:t xml:space="preserve"> those things are even better and are accepted [by G-d] immediately.</w:t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32"/>
                <w:szCs w:val="3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rPr>
                <w:rFonts w:ascii="Times" w:cs="Times" w:eastAsia="Times" w:hAnsi="Times"/>
                <w:sz w:val="32"/>
                <w:szCs w:val="3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line="320" w:lineRule="auto"/>
              <w:contextualSpacing w:val="0"/>
              <w:rPr>
                <w:rFonts w:ascii="Times" w:cs="Times" w:eastAsia="Times" w:hAnsi="Times"/>
                <w:b w:val="1"/>
                <w:color w:val="000000"/>
                <w:sz w:val="32"/>
                <w:szCs w:val="32"/>
                <w:shd w:fill="auto" w:val="clear"/>
              </w:rPr>
            </w:pPr>
            <w:hyperlink r:id="rId10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משנה</w:t>
              </w:r>
            </w:hyperlink>
            <w:hyperlink r:id="rId11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תורה</w:t>
              </w:r>
            </w:hyperlink>
            <w:hyperlink r:id="rId13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, </w:t>
              </w:r>
            </w:hyperlink>
            <w:hyperlink r:id="rId14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הלכות</w:t>
              </w:r>
            </w:hyperlink>
            <w:hyperlink r:id="rId15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תשובה</w:t>
              </w:r>
            </w:hyperlink>
            <w:hyperlink r:id="rId17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ב</w:t>
              </w:r>
            </w:hyperlink>
            <w:hyperlink r:id="rId19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׳:</w:t>
              </w:r>
            </w:hyperlink>
            <w:hyperlink r:id="rId20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ו</w:t>
              </w:r>
            </w:hyperlink>
            <w:hyperlink r:id="rId21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׳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1"/>
              <w:tblW w:w="438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>
                  <w:shd w:fill="ffffff" w:val="clear"/>
                  <w:tcMar>
                    <w:top w:w="0.0" w:type="dxa"/>
                    <w:left w:w="150.0" w:type="dxa"/>
                    <w:bottom w:w="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contextualSpacing w:val="0"/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ֶׁ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ׁ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עו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ָׂ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ֶׁ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אש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ׁ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ָּׁ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32"/>
                <w:szCs w:val="3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2"/>
          <w:szCs w:val="32"/>
          <w:highlight w:val="white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A. When can </w:t>
      </w:r>
      <w:r w:rsidDel="00000000" w:rsidR="00000000" w:rsidRPr="00000000">
        <w:rPr>
          <w:rFonts w:ascii="Times" w:cs="Times" w:eastAsia="Times" w:hAnsi="Times"/>
          <w:i w:val="1"/>
          <w:sz w:val="32"/>
          <w:szCs w:val="32"/>
          <w:highlight w:val="white"/>
          <w:rtl w:val="0"/>
        </w:rPr>
        <w:t xml:space="preserve">teshuva</w:t>
      </w: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 be done?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2"/>
          <w:szCs w:val="32"/>
          <w:highlight w:val="white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B. When is the best time to do </w:t>
      </w:r>
      <w:r w:rsidDel="00000000" w:rsidR="00000000" w:rsidRPr="00000000">
        <w:rPr>
          <w:rFonts w:ascii="Times" w:cs="Times" w:eastAsia="Times" w:hAnsi="Times"/>
          <w:i w:val="1"/>
          <w:sz w:val="32"/>
          <w:szCs w:val="32"/>
          <w:highlight w:val="white"/>
          <w:rtl w:val="0"/>
        </w:rPr>
        <w:t xml:space="preserve">teshuva</w:t>
      </w: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5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20" w:lineRule="auto"/>
              <w:contextualSpacing w:val="0"/>
              <w:rPr>
                <w:rFonts w:ascii="Times" w:cs="Times" w:eastAsia="Times" w:hAnsi="Times"/>
                <w:b w:val="1"/>
                <w:color w:val="000000"/>
                <w:sz w:val="26"/>
                <w:szCs w:val="26"/>
                <w:shd w:fill="auto" w:val="clear"/>
              </w:rPr>
            </w:pPr>
            <w:hyperlink r:id="rId22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26"/>
                  <w:szCs w:val="26"/>
                  <w:shd w:fill="auto" w:val="clear"/>
                  <w:rtl w:val="0"/>
                </w:rPr>
                <w:t xml:space="preserve">Mishneh Torah, Repentance 1:1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38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>
                  <w:shd w:fill="ffffff" w:val="clear"/>
                  <w:tcMar>
                    <w:top w:w="0.0" w:type="dxa"/>
                    <w:left w:w="150.0" w:type="dxa"/>
                    <w:bottom w:w="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  <w:rtl w:val="0"/>
                    </w:rPr>
                    <w:t xml:space="preserve">All commandments of the Torah, whether they be positive [do this!] or negative [don't do this!]-- if a person transgresses any one of them, either on purpose or accidentally, when a person does </w:t>
                  </w:r>
                  <w:r w:rsidDel="00000000" w:rsidR="00000000" w:rsidRPr="00000000">
                    <w:rPr>
                      <w:rFonts w:ascii="Times" w:cs="Times" w:eastAsia="Times" w:hAnsi="Times"/>
                      <w:i w:val="1"/>
                      <w:sz w:val="30"/>
                      <w:szCs w:val="30"/>
                      <w:shd w:fill="auto" w:val="clear"/>
                      <w:rtl w:val="0"/>
                    </w:rPr>
                    <w:t xml:space="preserve">teshuva</w:t>
                  </w:r>
                  <w:r w:rsidDel="00000000" w:rsidR="00000000" w:rsidRPr="00000000"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  <w:rtl w:val="0"/>
                    </w:rPr>
                    <w:t xml:space="preserve"> [repentance] and returns from his or her sin, he or she must confess verbally before G-d...</w:t>
                  </w:r>
                </w:p>
                <w:p w:rsidR="00000000" w:rsidDel="00000000" w:rsidP="00000000" w:rsidRDefault="00000000" w:rsidRPr="00000000" w14:paraId="00000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  <w:rtl w:val="0"/>
                    </w:rPr>
                    <w:t xml:space="preserve">How is the verbal confession made? A person says: "Please, G-d! I have sinned; I have been obstinate; I have trespassed against You, in doing this and that. Now, behold! I have repented and am ashamed of my actions; I'm never going to do it again." This is the essence of the confession, but anyone who elaborates in confessing and goes on and on is, indeed, praiseworthy.</w:t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30"/>
                <w:szCs w:val="3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rPr>
                <w:rFonts w:ascii="Times" w:cs="Times" w:eastAsia="Times" w:hAnsi="Times"/>
                <w:sz w:val="30"/>
                <w:szCs w:val="3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line="320" w:lineRule="auto"/>
              <w:contextualSpacing w:val="0"/>
              <w:rPr>
                <w:rFonts w:ascii="Times" w:cs="Times" w:eastAsia="Times" w:hAnsi="Times"/>
                <w:b w:val="1"/>
                <w:color w:val="000000"/>
                <w:sz w:val="36"/>
                <w:szCs w:val="36"/>
                <w:shd w:fill="auto" w:val="clear"/>
              </w:rPr>
            </w:pPr>
            <w:hyperlink r:id="rId23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משנה</w:t>
              </w:r>
            </w:hyperlink>
            <w:hyperlink r:id="rId24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תורה</w:t>
              </w:r>
            </w:hyperlink>
            <w:hyperlink r:id="rId26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, </w:t>
              </w:r>
            </w:hyperlink>
            <w:hyperlink r:id="rId27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הלכות</w:t>
              </w:r>
            </w:hyperlink>
            <w:hyperlink r:id="rId28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תשובה</w:t>
              </w:r>
            </w:hyperlink>
            <w:hyperlink r:id="rId30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א</w:t>
              </w:r>
            </w:hyperlink>
            <w:hyperlink r:id="rId32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׳:</w:t>
              </w:r>
            </w:hyperlink>
            <w:hyperlink r:id="rId33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א</w:t>
              </w:r>
            </w:hyperlink>
            <w:hyperlink r:id="rId34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׳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Visual w:val="1"/>
              <w:tblW w:w="438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>
                  <w:shd w:fill="ffffff" w:val="clear"/>
                  <w:tcMar>
                    <w:top w:w="0.0" w:type="dxa"/>
                    <w:left w:w="150.0" w:type="dxa"/>
                    <w:bottom w:w="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contextualSpacing w:val="0"/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ֵׂ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ֶׂ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ֶׂ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...</w:t>
                  </w:r>
                </w:p>
                <w:p w:rsidR="00000000" w:rsidDel="00000000" w:rsidP="00000000" w:rsidRDefault="00000000" w:rsidRPr="00000000" w14:paraId="00000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contextualSpacing w:val="0"/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יצ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ֵּׁ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יך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ִׂ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ַׂ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ינ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יך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ֻׁ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. </w:t>
                  </w:r>
                </w:p>
                <w:p w:rsidR="00000000" w:rsidDel="00000000" w:rsidP="00000000" w:rsidRDefault="00000000" w:rsidRPr="00000000" w14:paraId="00000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contextualSpacing w:val="0"/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36"/>
                <w:szCs w:val="3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2"/>
          <w:szCs w:val="3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2"/>
          <w:szCs w:val="32"/>
          <w:highlight w:val="white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A. What are the steps of </w:t>
      </w:r>
      <w:r w:rsidDel="00000000" w:rsidR="00000000" w:rsidRPr="00000000">
        <w:rPr>
          <w:rFonts w:ascii="Times" w:cs="Times" w:eastAsia="Times" w:hAnsi="Times"/>
          <w:i w:val="1"/>
          <w:sz w:val="32"/>
          <w:szCs w:val="32"/>
          <w:highlight w:val="white"/>
          <w:rtl w:val="0"/>
        </w:rPr>
        <w:t xml:space="preserve">teshuva</w:t>
      </w: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 according to the Rambam?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2"/>
          <w:szCs w:val="32"/>
          <w:highlight w:val="white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B. What do you think is the significance of a verbal confession? In other words, why does the Rambam specify that the confession be said out loud?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5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20" w:lineRule="auto"/>
              <w:contextualSpacing w:val="0"/>
              <w:rPr>
                <w:rFonts w:ascii="Times" w:cs="Times" w:eastAsia="Times" w:hAnsi="Times"/>
                <w:b w:val="1"/>
                <w:color w:val="000000"/>
                <w:sz w:val="26"/>
                <w:szCs w:val="26"/>
                <w:shd w:fill="auto" w:val="clear"/>
              </w:rPr>
            </w:pPr>
            <w:hyperlink r:id="rId35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26"/>
                  <w:szCs w:val="26"/>
                  <w:shd w:fill="auto" w:val="clear"/>
                  <w:rtl w:val="0"/>
                </w:rPr>
                <w:t xml:space="preserve">Mishneh Torah, Repentance 2:9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38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>
                  <w:shd w:fill="ffffff" w:val="clear"/>
                  <w:tcMar>
                    <w:top w:w="0.0" w:type="dxa"/>
                    <w:left w:w="150.0" w:type="dxa"/>
                    <w:bottom w:w="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i w:val="1"/>
                      <w:sz w:val="30"/>
                      <w:szCs w:val="30"/>
                      <w:shd w:fill="auto" w:val="clear"/>
                      <w:rtl w:val="0"/>
                    </w:rPr>
                    <w:t xml:space="preserve">Teshuva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  <w:rtl w:val="0"/>
                    </w:rPr>
                    <w:t xml:space="preserve">[repentance] and </w:t>
                  </w:r>
                  <w:r w:rsidDel="00000000" w:rsidR="00000000" w:rsidRPr="00000000">
                    <w:rPr>
                      <w:rFonts w:ascii="Times" w:cs="Times" w:eastAsia="Times" w:hAnsi="Times"/>
                      <w:i w:val="1"/>
                      <w:sz w:val="30"/>
                      <w:szCs w:val="30"/>
                      <w:shd w:fill="auto" w:val="clear"/>
                      <w:rtl w:val="0"/>
                    </w:rPr>
                    <w:t xml:space="preserve">Yom Kippur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  <w:rtl w:val="0"/>
                    </w:rPr>
                    <w:t xml:space="preserve">only atone for sins that are between a person and G-d... but sins that are between a person and his or her friend, such as: hurting a friend, or cursing at a friend, or stealing and so on and so forth-- a person is not atoned until he or she gives the friend what he or she owes to the friend and appeases them.</w:t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30"/>
                <w:szCs w:val="3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rPr>
                <w:rFonts w:ascii="Times" w:cs="Times" w:eastAsia="Times" w:hAnsi="Times"/>
                <w:sz w:val="30"/>
                <w:szCs w:val="3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line="320" w:lineRule="auto"/>
              <w:contextualSpacing w:val="0"/>
              <w:rPr>
                <w:rFonts w:ascii="Times" w:cs="Times" w:eastAsia="Times" w:hAnsi="Times"/>
                <w:b w:val="1"/>
                <w:color w:val="000000"/>
                <w:sz w:val="36"/>
                <w:szCs w:val="36"/>
                <w:shd w:fill="auto" w:val="clear"/>
              </w:rPr>
            </w:pPr>
            <w:hyperlink r:id="rId36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משנה</w:t>
              </w:r>
            </w:hyperlink>
            <w:hyperlink r:id="rId37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תורה</w:t>
              </w:r>
            </w:hyperlink>
            <w:hyperlink r:id="rId39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, </w:t>
              </w:r>
            </w:hyperlink>
            <w:hyperlink r:id="rId40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הלכות</w:t>
              </w:r>
            </w:hyperlink>
            <w:hyperlink r:id="rId41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 </w:t>
              </w:r>
            </w:hyperlink>
            <w:hyperlink r:id="rId42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תשובה</w:t>
              </w:r>
            </w:hyperlink>
            <w:hyperlink r:id="rId43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ב</w:t>
              </w:r>
            </w:hyperlink>
            <w:hyperlink r:id="rId45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׳:</w:t>
              </w:r>
            </w:hyperlink>
            <w:hyperlink r:id="rId46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ט</w:t>
              </w:r>
            </w:hyperlink>
            <w:hyperlink r:id="rId47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׳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bidiVisual w:val="1"/>
              <w:tblW w:w="438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>
                  <w:shd w:fill="ffffff" w:val="clear"/>
                  <w:tcMar>
                    <w:top w:w="0.0" w:type="dxa"/>
                    <w:left w:w="150.0" w:type="dxa"/>
                    <w:bottom w:w="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contextualSpacing w:val="0"/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קו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...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גו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ינו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ֶּׁ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ּ.</w:t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36"/>
                <w:szCs w:val="3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6"/>
          <w:szCs w:val="36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6"/>
          <w:szCs w:val="36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2"/>
          <w:szCs w:val="32"/>
          <w:highlight w:val="white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A. What is the difference between sins that are between a person and G-d and those that are between a person and his or her friend?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2"/>
          <w:szCs w:val="32"/>
          <w:highlight w:val="white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B. What is the significance of the phrase "and appeases them"? In other words, why isn't it enough just to pay my friend back if I owe them money?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5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20" w:lineRule="auto"/>
              <w:contextualSpacing w:val="0"/>
              <w:rPr>
                <w:rFonts w:ascii="Times" w:cs="Times" w:eastAsia="Times" w:hAnsi="Times"/>
                <w:b w:val="1"/>
                <w:color w:val="000000"/>
                <w:sz w:val="26"/>
                <w:szCs w:val="26"/>
                <w:shd w:fill="auto" w:val="clear"/>
              </w:rPr>
            </w:pPr>
            <w:hyperlink r:id="rId48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26"/>
                  <w:szCs w:val="26"/>
                  <w:shd w:fill="auto" w:val="clear"/>
                  <w:rtl w:val="0"/>
                </w:rPr>
                <w:t xml:space="preserve">Mishnah Yoma 8:9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438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>
                  <w:shd w:fill="ffffff" w:val="clear"/>
                  <w:tcMar>
                    <w:top w:w="0.0" w:type="dxa"/>
                    <w:left w:w="150.0" w:type="dxa"/>
                    <w:bottom w:w="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  <w:rtl w:val="0"/>
                    </w:rPr>
                    <w:t xml:space="preserve">One who says, "I will sin and then repent, I will sin and then repent," does not receive an opportunity to repent. [One who says] "I will sin, and </w:t>
                  </w:r>
                  <w:r w:rsidDel="00000000" w:rsidR="00000000" w:rsidRPr="00000000">
                    <w:rPr>
                      <w:rFonts w:ascii="Times" w:cs="Times" w:eastAsia="Times" w:hAnsi="Times"/>
                      <w:i w:val="1"/>
                      <w:sz w:val="30"/>
                      <w:szCs w:val="30"/>
                      <w:shd w:fill="auto" w:val="clear"/>
                      <w:rtl w:val="0"/>
                    </w:rPr>
                    <w:t xml:space="preserve">Yom Kippur</w:t>
                  </w:r>
                  <w:r w:rsidDel="00000000" w:rsidR="00000000" w:rsidRPr="00000000"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  <w:rtl w:val="0"/>
                    </w:rPr>
                    <w:t xml:space="preserve"> will atone," </w:t>
                  </w:r>
                  <w:r w:rsidDel="00000000" w:rsidR="00000000" w:rsidRPr="00000000">
                    <w:rPr>
                      <w:rFonts w:ascii="Times" w:cs="Times" w:eastAsia="Times" w:hAnsi="Times"/>
                      <w:i w:val="1"/>
                      <w:sz w:val="30"/>
                      <w:szCs w:val="30"/>
                      <w:shd w:fill="auto" w:val="clear"/>
                      <w:rtl w:val="0"/>
                    </w:rPr>
                    <w:t xml:space="preserve">Yom Kippur</w:t>
                  </w:r>
                  <w:r w:rsidDel="00000000" w:rsidR="00000000" w:rsidRPr="00000000">
                    <w:rPr>
                      <w:rFonts w:ascii="Times" w:cs="Times" w:eastAsia="Times" w:hAnsi="Times"/>
                      <w:sz w:val="30"/>
                      <w:szCs w:val="30"/>
                      <w:shd w:fill="auto" w:val="clear"/>
                      <w:rtl w:val="0"/>
                    </w:rPr>
                    <w:t xml:space="preserve"> will not atone.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30"/>
                <w:szCs w:val="3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rPr>
                <w:rFonts w:ascii="Times" w:cs="Times" w:eastAsia="Times" w:hAnsi="Times"/>
                <w:sz w:val="30"/>
                <w:szCs w:val="3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line="320" w:lineRule="auto"/>
              <w:contextualSpacing w:val="0"/>
              <w:rPr>
                <w:rFonts w:ascii="Times" w:cs="Times" w:eastAsia="Times" w:hAnsi="Times"/>
                <w:b w:val="1"/>
                <w:color w:val="000000"/>
                <w:sz w:val="36"/>
                <w:szCs w:val="36"/>
                <w:shd w:fill="auto" w:val="clear"/>
              </w:rPr>
            </w:pPr>
            <w:hyperlink r:id="rId49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משנה</w:t>
              </w:r>
            </w:hyperlink>
            <w:hyperlink r:id="rId50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 </w:t>
              </w:r>
            </w:hyperlink>
            <w:hyperlink r:id="rId51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יומא</w:t>
              </w:r>
            </w:hyperlink>
            <w:hyperlink r:id="rId52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 </w:t>
              </w:r>
            </w:hyperlink>
            <w:hyperlink r:id="rId53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ח</w:t>
              </w:r>
            </w:hyperlink>
            <w:hyperlink r:id="rId54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׳:</w:t>
              </w:r>
            </w:hyperlink>
            <w:hyperlink r:id="rId55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ט</w:t>
              </w:r>
            </w:hyperlink>
            <w:hyperlink r:id="rId56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6"/>
                  <w:szCs w:val="36"/>
                  <w:shd w:fill="auto" w:val="clear"/>
                  <w:rtl w:val="1"/>
                </w:rPr>
                <w:t xml:space="preserve">׳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bidiVisual w:val="1"/>
              <w:tblW w:w="438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>
                  <w:shd w:fill="ffffff" w:val="clear"/>
                  <w:tcMar>
                    <w:top w:w="0.0" w:type="dxa"/>
                    <w:left w:w="150.0" w:type="dxa"/>
                    <w:bottom w:w="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contextualSpacing w:val="0"/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,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ֱ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,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ֱ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,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יק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דו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ׂ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ׁ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ֱ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,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ים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ֵּ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6"/>
                      <w:szCs w:val="36"/>
                      <w:shd w:fill="auto" w:val="clear"/>
                      <w:rtl w:val="1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36"/>
                <w:szCs w:val="3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2"/>
          <w:szCs w:val="3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2"/>
          <w:szCs w:val="32"/>
          <w:highlight w:val="white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A. What does this text teach us about the concept of sin and repentance in Judaism?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2"/>
          <w:szCs w:val="32"/>
          <w:highlight w:val="white"/>
        </w:rPr>
      </w:pP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B. What does this text teach us about </w:t>
      </w:r>
      <w:r w:rsidDel="00000000" w:rsidR="00000000" w:rsidRPr="00000000">
        <w:rPr>
          <w:rFonts w:ascii="Times" w:cs="Times" w:eastAsia="Times" w:hAnsi="Times"/>
          <w:i w:val="1"/>
          <w:sz w:val="32"/>
          <w:szCs w:val="32"/>
          <w:highlight w:val="white"/>
          <w:rtl w:val="0"/>
        </w:rPr>
        <w:t xml:space="preserve">Yom Kippur</w:t>
      </w:r>
      <w:r w:rsidDel="00000000" w:rsidR="00000000" w:rsidRPr="00000000">
        <w:rPr>
          <w:rFonts w:ascii="Times" w:cs="Times" w:eastAsia="Times" w:hAnsi="Times"/>
          <w:sz w:val="32"/>
          <w:szCs w:val="32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5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20" w:lineRule="auto"/>
              <w:contextualSpacing w:val="0"/>
              <w:rPr>
                <w:rFonts w:ascii="Times" w:cs="Times" w:eastAsia="Times" w:hAnsi="Times"/>
                <w:b w:val="1"/>
                <w:color w:val="000000"/>
                <w:sz w:val="32"/>
                <w:szCs w:val="32"/>
                <w:shd w:fill="auto" w:val="clear"/>
              </w:rPr>
            </w:pPr>
            <w:hyperlink r:id="rId57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0"/>
                </w:rPr>
                <w:t xml:space="preserve">Mishneh Torah, Repentance 2:1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438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>
                  <w:shd w:fill="ffffff" w:val="clear"/>
                  <w:tcMar>
                    <w:top w:w="0.0" w:type="dxa"/>
                    <w:left w:w="150.0" w:type="dxa"/>
                    <w:bottom w:w="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0"/>
                    </w:rPr>
                    <w:t xml:space="preserve">What is complete repentance? One who once more had in it in his or her power to repeat a transgression, but separated him or herself from it, and did not do it because of repentance-- not out of fear or lack of strength.</w:t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32"/>
                <w:szCs w:val="3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50.0" w:type="dxa"/>
              <w:bottom w:w="0.0" w:type="dxa"/>
              <w:right w:w="15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rPr>
                <w:rFonts w:ascii="Times" w:cs="Times" w:eastAsia="Times" w:hAnsi="Times"/>
                <w:sz w:val="32"/>
                <w:szCs w:val="3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line="320" w:lineRule="auto"/>
              <w:contextualSpacing w:val="0"/>
              <w:rPr>
                <w:rFonts w:ascii="Times" w:cs="Times" w:eastAsia="Times" w:hAnsi="Times"/>
                <w:b w:val="1"/>
                <w:color w:val="000000"/>
                <w:sz w:val="32"/>
                <w:szCs w:val="32"/>
                <w:shd w:fill="auto" w:val="clear"/>
              </w:rPr>
            </w:pPr>
            <w:hyperlink r:id="rId58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משנה</w:t>
              </w:r>
            </w:hyperlink>
            <w:hyperlink r:id="rId59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 </w:t>
              </w:r>
            </w:hyperlink>
            <w:hyperlink r:id="rId60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תורה</w:t>
              </w:r>
            </w:hyperlink>
            <w:hyperlink r:id="rId61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, </w:t>
              </w:r>
            </w:hyperlink>
            <w:hyperlink r:id="rId62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הלכות</w:t>
              </w:r>
            </w:hyperlink>
            <w:hyperlink r:id="rId63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 </w:t>
              </w:r>
            </w:hyperlink>
            <w:hyperlink r:id="rId64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תשובה</w:t>
              </w:r>
            </w:hyperlink>
            <w:hyperlink r:id="rId65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 </w:t>
              </w:r>
            </w:hyperlink>
            <w:hyperlink r:id="rId66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ב</w:t>
              </w:r>
            </w:hyperlink>
            <w:hyperlink r:id="rId67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׳:</w:t>
              </w:r>
            </w:hyperlink>
            <w:hyperlink r:id="rId68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א</w:t>
              </w:r>
            </w:hyperlink>
            <w:hyperlink r:id="rId69">
              <w:r w:rsidDel="00000000" w:rsidR="00000000" w:rsidRPr="00000000">
                <w:rPr>
                  <w:rFonts w:ascii="Times" w:cs="Times" w:eastAsia="Times" w:hAnsi="Times"/>
                  <w:b w:val="1"/>
                  <w:color w:val="000000"/>
                  <w:sz w:val="32"/>
                  <w:szCs w:val="32"/>
                  <w:shd w:fill="auto" w:val="clear"/>
                  <w:rtl w:val="1"/>
                </w:rPr>
                <w:t xml:space="preserve">׳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bidiVisual w:val="1"/>
              <w:tblW w:w="438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>
                  <w:shd w:fill="ffffff" w:val="clear"/>
                  <w:tcMar>
                    <w:top w:w="0.0" w:type="dxa"/>
                    <w:left w:w="150.0" w:type="dxa"/>
                    <w:bottom w:w="0.0" w:type="dxa"/>
                    <w:right w:w="15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contextualSpacing w:val="0"/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זו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ׁ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מו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ֶׁ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דו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ֶׁ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ֶ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ָׁ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דו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ֲ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ׂ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תו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ׁ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ָׂ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ֵ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ׁ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ָ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ִּ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ְׁ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לו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ֹּ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Fonts w:ascii="Times" w:cs="Times" w:eastAsia="Times" w:hAnsi="Times"/>
                      <w:sz w:val="32"/>
                      <w:szCs w:val="32"/>
                      <w:shd w:fill="auto" w:val="clear"/>
                      <w:rtl w:val="1"/>
                    </w:rPr>
                    <w:t xml:space="preserve">ַ.</w:t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sz w:val="32"/>
                <w:szCs w:val="3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28"/>
          <w:szCs w:val="28"/>
          <w:highlight w:val="whit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highlight w:val="white"/>
          <w:rtl w:val="0"/>
        </w:rPr>
        <w:t xml:space="preserve">A. What is so "complete" about "complete repentance"?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color w:val="333333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highlight w:val="white"/>
          <w:rtl w:val="0"/>
        </w:rPr>
        <w:t xml:space="preserve">B. How are you going to make this Yom Kippur a more meaningful experience for yourself?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sefaria.org/Mishneh_Torah,_Repentance.2.9" TargetMode="External"/><Relationship Id="rId42" Type="http://schemas.openxmlformats.org/officeDocument/2006/relationships/hyperlink" Target="https://www.sefaria.org/Mishneh_Torah,_Repentance.2.9" TargetMode="External"/><Relationship Id="rId41" Type="http://schemas.openxmlformats.org/officeDocument/2006/relationships/hyperlink" Target="https://www.sefaria.org/Mishneh_Torah,_Repentance.2.9" TargetMode="External"/><Relationship Id="rId44" Type="http://schemas.openxmlformats.org/officeDocument/2006/relationships/hyperlink" Target="https://www.sefaria.org/Mishneh_Torah,_Repentance.2.9" TargetMode="External"/><Relationship Id="rId43" Type="http://schemas.openxmlformats.org/officeDocument/2006/relationships/hyperlink" Target="https://www.sefaria.org/Mishneh_Torah,_Repentance.2.9" TargetMode="External"/><Relationship Id="rId46" Type="http://schemas.openxmlformats.org/officeDocument/2006/relationships/hyperlink" Target="https://www.sefaria.org/Mishneh_Torah,_Repentance.2.9" TargetMode="External"/><Relationship Id="rId45" Type="http://schemas.openxmlformats.org/officeDocument/2006/relationships/hyperlink" Target="https://www.sefaria.org/Mishneh_Torah,_Repentance.2.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faria.org/Mishneh_Torah,_Repentance.2.6" TargetMode="External"/><Relationship Id="rId48" Type="http://schemas.openxmlformats.org/officeDocument/2006/relationships/hyperlink" Target="https://www.sefaria.org/Mishnah_Yoma.8.9" TargetMode="External"/><Relationship Id="rId47" Type="http://schemas.openxmlformats.org/officeDocument/2006/relationships/hyperlink" Target="https://www.sefaria.org/Mishneh_Torah,_Repentance.2.9" TargetMode="External"/><Relationship Id="rId49" Type="http://schemas.openxmlformats.org/officeDocument/2006/relationships/hyperlink" Target="https://www.sefaria.org/Mishnah_Yoma.8.9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efaria.org/profile/michael-washerstein" TargetMode="External"/><Relationship Id="rId7" Type="http://schemas.openxmlformats.org/officeDocument/2006/relationships/hyperlink" Target="https://www.sefaria.org/sheets/78854" TargetMode="External"/><Relationship Id="rId8" Type="http://schemas.openxmlformats.org/officeDocument/2006/relationships/hyperlink" Target="https://www.sefaria.org/profile/sam-blumberg" TargetMode="External"/><Relationship Id="rId31" Type="http://schemas.openxmlformats.org/officeDocument/2006/relationships/hyperlink" Target="https://www.sefaria.org/Mishneh_Torah,_Repentance.1.1" TargetMode="External"/><Relationship Id="rId30" Type="http://schemas.openxmlformats.org/officeDocument/2006/relationships/hyperlink" Target="https://www.sefaria.org/Mishneh_Torah,_Repentance.1.1" TargetMode="External"/><Relationship Id="rId33" Type="http://schemas.openxmlformats.org/officeDocument/2006/relationships/hyperlink" Target="https://www.sefaria.org/Mishneh_Torah,_Repentance.1.1" TargetMode="External"/><Relationship Id="rId32" Type="http://schemas.openxmlformats.org/officeDocument/2006/relationships/hyperlink" Target="https://www.sefaria.org/Mishneh_Torah,_Repentance.1.1" TargetMode="External"/><Relationship Id="rId35" Type="http://schemas.openxmlformats.org/officeDocument/2006/relationships/hyperlink" Target="https://www.sefaria.org/Mishneh_Torah,_Repentance.2.9" TargetMode="External"/><Relationship Id="rId34" Type="http://schemas.openxmlformats.org/officeDocument/2006/relationships/hyperlink" Target="https://www.sefaria.org/Mishneh_Torah,_Repentance.1.1" TargetMode="External"/><Relationship Id="rId37" Type="http://schemas.openxmlformats.org/officeDocument/2006/relationships/hyperlink" Target="https://www.sefaria.org/Mishneh_Torah,_Repentance.2.9" TargetMode="External"/><Relationship Id="rId36" Type="http://schemas.openxmlformats.org/officeDocument/2006/relationships/hyperlink" Target="https://www.sefaria.org/Mishneh_Torah,_Repentance.2.9" TargetMode="External"/><Relationship Id="rId39" Type="http://schemas.openxmlformats.org/officeDocument/2006/relationships/hyperlink" Target="https://www.sefaria.org/Mishneh_Torah,_Repentance.2.9" TargetMode="External"/><Relationship Id="rId38" Type="http://schemas.openxmlformats.org/officeDocument/2006/relationships/hyperlink" Target="https://www.sefaria.org/Mishneh_Torah,_Repentance.2.9" TargetMode="External"/><Relationship Id="rId62" Type="http://schemas.openxmlformats.org/officeDocument/2006/relationships/hyperlink" Target="https://www.sefaria.org/Mishneh_Torah,_Repentance.2.1" TargetMode="External"/><Relationship Id="rId61" Type="http://schemas.openxmlformats.org/officeDocument/2006/relationships/hyperlink" Target="https://www.sefaria.org/Mishneh_Torah,_Repentance.2.1" TargetMode="External"/><Relationship Id="rId20" Type="http://schemas.openxmlformats.org/officeDocument/2006/relationships/hyperlink" Target="https://www.sefaria.org/Mishneh_Torah,_Repentance.2.6" TargetMode="External"/><Relationship Id="rId64" Type="http://schemas.openxmlformats.org/officeDocument/2006/relationships/hyperlink" Target="https://www.sefaria.org/Mishneh_Torah,_Repentance.2.1" TargetMode="External"/><Relationship Id="rId63" Type="http://schemas.openxmlformats.org/officeDocument/2006/relationships/hyperlink" Target="https://www.sefaria.org/Mishneh_Torah,_Repentance.2.1" TargetMode="External"/><Relationship Id="rId22" Type="http://schemas.openxmlformats.org/officeDocument/2006/relationships/hyperlink" Target="https://www.sefaria.org/Mishneh_Torah,_Repentance.1.1" TargetMode="External"/><Relationship Id="rId66" Type="http://schemas.openxmlformats.org/officeDocument/2006/relationships/hyperlink" Target="https://www.sefaria.org/Mishneh_Torah,_Repentance.2.1" TargetMode="External"/><Relationship Id="rId21" Type="http://schemas.openxmlformats.org/officeDocument/2006/relationships/hyperlink" Target="https://www.sefaria.org/Mishneh_Torah,_Repentance.2.6" TargetMode="External"/><Relationship Id="rId65" Type="http://schemas.openxmlformats.org/officeDocument/2006/relationships/hyperlink" Target="https://www.sefaria.org/Mishneh_Torah,_Repentance.2.1" TargetMode="External"/><Relationship Id="rId24" Type="http://schemas.openxmlformats.org/officeDocument/2006/relationships/hyperlink" Target="https://www.sefaria.org/Mishneh_Torah,_Repentance.1.1" TargetMode="External"/><Relationship Id="rId68" Type="http://schemas.openxmlformats.org/officeDocument/2006/relationships/hyperlink" Target="https://www.sefaria.org/Mishneh_Torah,_Repentance.2.1" TargetMode="External"/><Relationship Id="rId23" Type="http://schemas.openxmlformats.org/officeDocument/2006/relationships/hyperlink" Target="https://www.sefaria.org/Mishneh_Torah,_Repentance.1.1" TargetMode="External"/><Relationship Id="rId67" Type="http://schemas.openxmlformats.org/officeDocument/2006/relationships/hyperlink" Target="https://www.sefaria.org/Mishneh_Torah,_Repentance.2.1" TargetMode="External"/><Relationship Id="rId60" Type="http://schemas.openxmlformats.org/officeDocument/2006/relationships/hyperlink" Target="https://www.sefaria.org/Mishneh_Torah,_Repentance.2.1" TargetMode="External"/><Relationship Id="rId26" Type="http://schemas.openxmlformats.org/officeDocument/2006/relationships/hyperlink" Target="https://www.sefaria.org/Mishneh_Torah,_Repentance.1.1" TargetMode="External"/><Relationship Id="rId25" Type="http://schemas.openxmlformats.org/officeDocument/2006/relationships/hyperlink" Target="https://www.sefaria.org/Mishneh_Torah,_Repentance.1.1" TargetMode="External"/><Relationship Id="rId69" Type="http://schemas.openxmlformats.org/officeDocument/2006/relationships/hyperlink" Target="https://www.sefaria.org/Mishneh_Torah,_Repentance.2.1" TargetMode="External"/><Relationship Id="rId28" Type="http://schemas.openxmlformats.org/officeDocument/2006/relationships/hyperlink" Target="https://www.sefaria.org/Mishneh_Torah,_Repentance.1.1" TargetMode="External"/><Relationship Id="rId27" Type="http://schemas.openxmlformats.org/officeDocument/2006/relationships/hyperlink" Target="https://www.sefaria.org/Mishneh_Torah,_Repentance.1.1" TargetMode="External"/><Relationship Id="rId29" Type="http://schemas.openxmlformats.org/officeDocument/2006/relationships/hyperlink" Target="https://www.sefaria.org/Mishneh_Torah,_Repentance.1.1" TargetMode="External"/><Relationship Id="rId51" Type="http://schemas.openxmlformats.org/officeDocument/2006/relationships/hyperlink" Target="https://www.sefaria.org/Mishnah_Yoma.8.9" TargetMode="External"/><Relationship Id="rId50" Type="http://schemas.openxmlformats.org/officeDocument/2006/relationships/hyperlink" Target="https://www.sefaria.org/Mishnah_Yoma.8.9" TargetMode="External"/><Relationship Id="rId53" Type="http://schemas.openxmlformats.org/officeDocument/2006/relationships/hyperlink" Target="https://www.sefaria.org/Mishnah_Yoma.8.9" TargetMode="External"/><Relationship Id="rId52" Type="http://schemas.openxmlformats.org/officeDocument/2006/relationships/hyperlink" Target="https://www.sefaria.org/Mishnah_Yoma.8.9" TargetMode="External"/><Relationship Id="rId11" Type="http://schemas.openxmlformats.org/officeDocument/2006/relationships/hyperlink" Target="https://www.sefaria.org/Mishneh_Torah,_Repentance.2.6" TargetMode="External"/><Relationship Id="rId55" Type="http://schemas.openxmlformats.org/officeDocument/2006/relationships/hyperlink" Target="https://www.sefaria.org/Mishnah_Yoma.8.9" TargetMode="External"/><Relationship Id="rId10" Type="http://schemas.openxmlformats.org/officeDocument/2006/relationships/hyperlink" Target="https://www.sefaria.org/Mishneh_Torah,_Repentance.2.6" TargetMode="External"/><Relationship Id="rId54" Type="http://schemas.openxmlformats.org/officeDocument/2006/relationships/hyperlink" Target="https://www.sefaria.org/Mishnah_Yoma.8.9" TargetMode="External"/><Relationship Id="rId13" Type="http://schemas.openxmlformats.org/officeDocument/2006/relationships/hyperlink" Target="https://www.sefaria.org/Mishneh_Torah,_Repentance.2.6" TargetMode="External"/><Relationship Id="rId57" Type="http://schemas.openxmlformats.org/officeDocument/2006/relationships/hyperlink" Target="https://www.sefaria.org/Mishneh_Torah,_Repentance.2.1" TargetMode="External"/><Relationship Id="rId12" Type="http://schemas.openxmlformats.org/officeDocument/2006/relationships/hyperlink" Target="https://www.sefaria.org/Mishneh_Torah,_Repentance.2.6" TargetMode="External"/><Relationship Id="rId56" Type="http://schemas.openxmlformats.org/officeDocument/2006/relationships/hyperlink" Target="https://www.sefaria.org/Mishnah_Yoma.8.9" TargetMode="External"/><Relationship Id="rId15" Type="http://schemas.openxmlformats.org/officeDocument/2006/relationships/hyperlink" Target="https://www.sefaria.org/Mishneh_Torah,_Repentance.2.6" TargetMode="External"/><Relationship Id="rId59" Type="http://schemas.openxmlformats.org/officeDocument/2006/relationships/hyperlink" Target="https://www.sefaria.org/Mishneh_Torah,_Repentance.2.1" TargetMode="External"/><Relationship Id="rId14" Type="http://schemas.openxmlformats.org/officeDocument/2006/relationships/hyperlink" Target="https://www.sefaria.org/Mishneh_Torah,_Repentance.2.6" TargetMode="External"/><Relationship Id="rId58" Type="http://schemas.openxmlformats.org/officeDocument/2006/relationships/hyperlink" Target="https://www.sefaria.org/Mishneh_Torah,_Repentance.2.1" TargetMode="External"/><Relationship Id="rId17" Type="http://schemas.openxmlformats.org/officeDocument/2006/relationships/hyperlink" Target="https://www.sefaria.org/Mishneh_Torah,_Repentance.2.6" TargetMode="External"/><Relationship Id="rId16" Type="http://schemas.openxmlformats.org/officeDocument/2006/relationships/hyperlink" Target="https://www.sefaria.org/Mishneh_Torah,_Repentance.2.6" TargetMode="External"/><Relationship Id="rId19" Type="http://schemas.openxmlformats.org/officeDocument/2006/relationships/hyperlink" Target="https://www.sefaria.org/Mishneh_Torah,_Repentance.2.6" TargetMode="External"/><Relationship Id="rId18" Type="http://schemas.openxmlformats.org/officeDocument/2006/relationships/hyperlink" Target="https://www.sefaria.org/Mishneh_Torah,_Repentance.2.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